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76200</wp:posOffset>
                </wp:positionV>
                <wp:extent cx="3113405" cy="2027998"/>
                <wp:effectExtent l="0" t="0" r="0" b="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947100" y="2521375"/>
                          <a:ext cx="3094200" cy="200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before="240" w:line="256" w:lineRule="auto"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8"/>
                              </w:rPr>
                              <w:t xml:space="preserve">УТВЕРЖДЕНО</w:t>
                            </w:r>
                            <w:r/>
                          </w:p>
                          <w:p>
                            <w:pPr>
                              <w:pBdr/>
                              <w:spacing w:after="160" w:before="240" w:line="256" w:lineRule="auto"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8"/>
                              </w:rPr>
                              <w:t xml:space="preserve">Решением Бюро Правления</w:t>
                            </w:r>
                            <w:r/>
                          </w:p>
                          <w:p>
                            <w:pPr>
                              <w:pBdr/>
                              <w:spacing w:after="160" w:before="240" w:line="256" w:lineRule="auto"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8"/>
                              </w:rPr>
                              <w:t xml:space="preserve">ФКС России</w:t>
                            </w:r>
                            <w:r/>
                          </w:p>
                          <w:p>
                            <w:pPr>
                              <w:pBdr/>
                              <w:spacing w:after="160" w:before="240" w:line="256" w:lineRule="auto"/>
                              <w:ind/>
                              <w:jc w:val="center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8"/>
                              </w:rPr>
                              <w:t xml:space="preserve">протокол № 112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8"/>
                              </w:rPr>
                              <w:t xml:space="preserve">от 10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28"/>
                              </w:rPr>
                              <w:t xml:space="preserve">.09.2024 г.</w:t>
                            </w:r>
                            <w:r/>
                          </w:p>
                          <w:p>
                            <w:pPr>
                              <w:pBdr/>
                              <w:spacing w:after="160" w:line="258" w:lineRule="auto"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226.55pt;mso-position-horizontal:absolute;mso-position-vertical-relative:text;margin-top:6.00pt;mso-position-vertical:absolute;width:245.15pt;height:159.68pt;mso-wrap-distance-left:9.05pt;mso-wrap-distance-top:0.00pt;mso-wrap-distance-right:9.05pt;mso-wrap-distance-bottom:0.00pt;v-text-anchor:top;visibility:visible;" fillcolor="#FFFFFF" stroked="f">
                <w10:wrap type="square"/>
                <v:textbox inset="0,0,0,0">
                  <w:txbxContent>
                    <w:p>
                      <w:pPr>
                        <w:pBdr/>
                        <w:spacing w:after="160" w:before="240" w:line="256" w:lineRule="auto"/>
                        <w:ind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8"/>
                        </w:rPr>
                        <w:t xml:space="preserve">УТВЕРЖДЕНО</w:t>
                      </w:r>
                      <w:r/>
                    </w:p>
                    <w:p>
                      <w:pPr>
                        <w:pBdr/>
                        <w:spacing w:after="160" w:before="240" w:line="256" w:lineRule="auto"/>
                        <w:ind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8"/>
                        </w:rPr>
                        <w:t xml:space="preserve">Решением Бюро Правления</w:t>
                      </w:r>
                      <w:r/>
                    </w:p>
                    <w:p>
                      <w:pPr>
                        <w:pBdr/>
                        <w:spacing w:after="160" w:before="240" w:line="256" w:lineRule="auto"/>
                        <w:ind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8"/>
                        </w:rPr>
                        <w:t xml:space="preserve">ФКС России</w:t>
                      </w:r>
                      <w:r/>
                    </w:p>
                    <w:p>
                      <w:pPr>
                        <w:pBdr/>
                        <w:spacing w:after="160" w:before="240" w:line="256" w:lineRule="auto"/>
                        <w:ind/>
                        <w:jc w:val="center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8"/>
                        </w:rPr>
                        <w:t xml:space="preserve">протокол № 112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8"/>
                        </w:rPr>
                        <w:t xml:space="preserve">от 10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28"/>
                        </w:rPr>
                        <w:t xml:space="preserve">.09.2024 г.</w:t>
                      </w:r>
                      <w:r/>
                    </w:p>
                    <w:p>
                      <w:pPr>
                        <w:pBdr/>
                        <w:spacing w:after="160" w:line="258" w:lineRule="auto"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eastAsia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  <w:r>
        <w:rPr>
          <w:rFonts w:ascii="Times New Roman" w:hAnsi="Times New Roman" w:cs="Times New Roman"/>
          <w:color w:val="ffffff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42"/>
        <w:widowControl w:val="true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_b7g1rjttlf55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</w:rPr>
        <w:t xml:space="preserve">РЕГЛАМЕНТ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международных соревнованиях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«Чемпионат стран БРИКС»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(дисциплина — файтинг)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pBdr/>
        <w:spacing w:after="160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номер-код вида спорта 1240002411Л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</w:rPr>
        <w:t xml:space="preserve">г. Москва, 2024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42"/>
        <w:widowControl w:val="true"/>
        <w:pBdr/>
        <w:spacing w:after="200"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2"/>
        <w:widowControl w:val="true"/>
        <w:pBdr/>
        <w:spacing w:after="200"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" w:name="_q18utytsbsz1"/>
      <w:r>
        <w:rPr>
          <w:rFonts w:ascii="Times New Roman" w:hAnsi="Times New Roman" w:eastAsia="Times New Roman" w:cs="Times New Roman"/>
        </w:rPr>
      </w:r>
      <w:bookmarkEnd w:id="1"/>
      <w:r>
        <w:rPr>
          <w:rFonts w:ascii="Times New Roman" w:hAnsi="Times New Roman" w:eastAsia="Times New Roman" w:cs="Times New Roman"/>
        </w:rPr>
        <w:t xml:space="preserve">СОДЕРЖАНИЕ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-2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Глоссарий и сокращенные наименования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2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Организаторы Соревнования. Права и обязанности организаторов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3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Официальные лица Соревнования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-2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Права и обязанности участников 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-2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Формат и система проведения Соревнования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6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Технические 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-27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Судейство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8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Награждение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9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Финансирование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10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Страхование участников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11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12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Адреса и реквизиты организаторов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2"/>
        <w:numPr>
          <w:ilvl w:val="0"/>
          <w:numId w:val="6"/>
        </w:num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2" w:name="_6c1e34t14bjy"/>
      <w:r>
        <w:rPr>
          <w:rFonts w:ascii="Times New Roman" w:hAnsi="Times New Roman" w:eastAsia="Times New Roman" w:cs="Times New Roman"/>
        </w:rPr>
      </w:r>
      <w:bookmarkEnd w:id="2"/>
      <w:r>
        <w:rPr>
          <w:rFonts w:ascii="Times New Roman" w:hAnsi="Times New Roman" w:eastAsia="Times New Roman" w:cs="Times New Roman"/>
        </w:rPr>
        <w:t xml:space="preserve">ГЛОССАРИЙ И СОКРАЩЕННЫЕ НАИМЕНОВАНИЯ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44"/>
        <w:tblW w:w="10170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755"/>
      </w:tblGrid>
      <w:tr>
        <w:trPr>
          <w:trHeight w:val="1185"/>
        </w:trPr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ФКС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Общероссийская общественная организация «Федерация компьютерного спорта России», зарегистрированная по адресу 127434, г. Москва, Дмитровское ш., д. 27, к. 1, комн. 72.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Полное наименование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Международные  соревнования «Чемпионат стран БРИКС». Дисциплина «Файтинг». Вид программы —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Tekken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Краткое наименование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«Чемпионат стран БРИКС»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Главная судейская коллегия Соревнования.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Нормативные документы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Официальные правила вида спорта «компьютерный спорт», утвержденные приказом Министерства спорта Российской Федерации от 22 января 2020 г. № 22 со всеми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несенными изменениями (Правила компьютерного спорта); Положение Соревнования; Регламент Соревнования; Технические правила Соревнования; Дисциплинарный регламент ФКС России; Регламент ФКС России по этике; иные документы, утвержденные ФКС России и (или) ГСК.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LAN, Local area network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Формат проведения Соревнования или стадии Соревнования, при котором участники соревновательного процесса находятся на специально оборудованных площадках в одном или смежных помещениях под непосредственным контролем судей.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30"/>
        </w:trPr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bo5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Формат проведения матчей между участниками до победы в трёх геймах.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bo7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Формат проведения матчей между участниками до победы в четырёх геймах.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Олимпийская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 проведения Соревнования, при которой участник выбывает из Соревнования после одного проигранного матча.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20"/>
        </w:trPr>
        <w:tc>
          <w:tcPr>
            <w:tcBorders/>
            <w:tcW w:w="2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Круговая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7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Система, при которой каждый участник Соревнования поочередно встречается со всеми остальными участниками в один или несколько кругов.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/>
      <w:bookmarkStart w:id="3" w:name="_69g10zs1b1ok"/>
      <w:r>
        <w:rPr>
          <w:rFonts w:ascii="Times New Roman" w:hAnsi="Times New Roman" w:eastAsia="Times New Roman" w:cs="Times New Roman"/>
        </w:rPr>
        <w:t xml:space="preserve">II. </w:t>
      </w:r>
      <w:bookmarkEnd w:id="3"/>
      <w:r>
        <w:rPr>
          <w:rFonts w:ascii="Times New Roman" w:hAnsi="Times New Roman" w:eastAsia="Times New Roman" w:cs="Times New Roman"/>
        </w:rPr>
        <w:t xml:space="preserve">ОРГАНИЗАТОРЫ СОРЕВНОВАНИЯ. ПРАВА И ОБЯЗАННОСТИ ОРГАНИЗАТОРОВ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Общее руководство организацией и проведением Соревнований осуществляет Общероссийская общественная организация «Федерация компьютерного спорта России» (далее — Федерация) при поддержке Министерства спорта Российской Федерации (далее — Минспорт России).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Непосредственное руководство проведением Соревнования возлагается на Федерацию и ГСК, утвержденную Федерацией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</w:t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Федерация и (или) ГСК не несут ответственности за технические сбои программ и аппаратных средств, принадлежащих третьим лицам, в том числе игровых серверов и (или) турнирных сервисов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</w:t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Права Федерации: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83"/>
        <w:numPr>
          <w:ilvl w:val="0"/>
          <w:numId w:val="11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организовывать и проводить Соревнование в порядке и на условиях, предусмотренных Федеральным законом от 04.12.2007 № 329-ФЗ «О физической культуре и спорте в Российской Федерации», настоящим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1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утверждать Регламент и иные Нормативные документы Соревнования, регулирующие условия и порядок организации и проведения Соревнования, определяющие права и обязанности участников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1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толковать (разъяснять), в случае необходимости, нормы Регламента и иных Нормативных документов Соревнования, а также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зрешать путем толкования (разъяснения) нормы Регламента и иных Нормативных документов Соревнования любого рода спорные ситуации, возникающие в связи с неоднозначным толкованием тех или иных положений Регламента или иных Нормативных документов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1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освещать Соревнование посредством трансляции изображения и (или) звука любыми способами и (или) с помощью любых технологий, а также посредством осуществления записи указанной трансляции и (или) фотосъемки Соревнований;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1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использовать в рекламных и коммерческих целях названия, логотип и иные официальные обозначения Соревнований (Символика Соревнований);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1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иные права, необходимые для организации проведения Соревнования на высоком спортивном, организационном и медийном уровне, прямо не предусмотренные Регламентом, не противоречащие положениям Регламента и действующего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</w:t>
        <w:tab/>
        <w:t xml:space="preserve">Обязанности Федерации: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деятельность по организации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определять условия допуска участников к Соревнованиям;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меры по противодействию противоправному влиянию на результаты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соблюдение установленных действующим законодательством Российской Федерации норм в отношении медицинского и антидопингового обеспечения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регистрацию результатов матчей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регистрацию итогов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организацию судейства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определять список судей и иных официальных лиц для обслуживания Соревнования;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10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осуществлять иные обязанности по организации и проведению Соревнования в соответствии с действующим законодательством Российской Федерации, настоящим Регламентом.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</w:t>
        <w:tab/>
        <w:t xml:space="preserve">ФКС России формирует список участников Соревнования.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III. </w:t>
      </w:r>
      <w:bookmarkStart w:id="4" w:name="_n1ailak0vief"/>
      <w:r>
        <w:rPr>
          <w:rFonts w:ascii="Times New Roman" w:hAnsi="Times New Roman" w:eastAsia="Times New Roman" w:cs="Times New Roman"/>
        </w:rPr>
      </w:r>
      <w:bookmarkEnd w:id="4"/>
      <w:r>
        <w:rPr>
          <w:rFonts w:ascii="Times New Roman" w:hAnsi="Times New Roman" w:eastAsia="Times New Roman" w:cs="Times New Roman"/>
        </w:rPr>
        <w:t xml:space="preserve">ОФИЦИАЛЬНЫЕ ЛИЦА СОРЕВНОВАНИЯ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true"/>
        <w:numPr>
          <w:ilvl w:val="1"/>
          <w:numId w:val="5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Соревнования проводятся в соответствии с Нормативными документами Соревнования. Все официальные лица Соревнования должны знать и исполнять требования Нормативных документов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5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Организацию судейства Соревнования осуществляет ГСК, сформированная в порядке, предусмотренном Нормативными документами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5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 Федерации и (или) ГСК являются обязательными для исполнения всеми участниками Соревнования, а также официальными лицами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5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Судьи Соревнования, иные официальные лица Соревнования и сотрудники Федерации не могут являться участниками Соревнования.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IV. </w:t>
      </w:r>
      <w:bookmarkStart w:id="5" w:name="_850042ir1sx5"/>
      <w:r>
        <w:rPr>
          <w:rFonts w:ascii="Times New Roman" w:hAnsi="Times New Roman" w:eastAsia="Times New Roman" w:cs="Times New Roman"/>
        </w:rPr>
      </w:r>
      <w:bookmarkEnd w:id="5"/>
      <w:r>
        <w:rPr>
          <w:rFonts w:ascii="Times New Roman" w:hAnsi="Times New Roman" w:eastAsia="Times New Roman" w:cs="Times New Roman"/>
        </w:rPr>
        <w:t xml:space="preserve">ПРАВА И ОБЯЗАННОСТИ УЧАСТНИКОВ СОРЕВНОВАНИЯ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язык Соревнования — русский. Лица, участвующие в Соревнованиях, не владеющие русским языком, при необходимости вправе за свой счет воспользоваться услугами переводчика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 в Соревновании для спортсменов направлено на получение дохода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Соревнование является профессиональным физкультурным соревнованием по смыслу действующего законодательства Российской Федерации в области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Предварительные заявки (Приложение № 1) направляются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Федерацию до 22 октября 2024 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комиссию по допуску участников предоставляются следующие документы на каждого участника: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83"/>
        <w:numPr>
          <w:ilvl w:val="0"/>
          <w:numId w:val="13"/>
        </w:num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на участие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83"/>
        <w:numPr>
          <w:ilvl w:val="0"/>
          <w:numId w:val="13"/>
        </w:num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Паспорт гражданина страны, от которой заявлен спортсмен;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Соревнования должны знать и исполнять предписания Нормативных документов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Соревнованиях могут принимать участие иностранные спортсмены и спортсмены Российской Федерации,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мужчины, так и женщины. Участие в Соревновани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основано на риске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в Соревнованиях допускаются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мужчины и женщины,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достигшие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возраста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 лет. Возраст устанавливается на день начала проведения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и их официальные представители, предоставившие Федерации и официальным лицам Соревнования любую информацию, несут ответственность за достоверность такой информации. Предоставление недостоверной информации влечет применение спортивных санкций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обязаны соблюдать режим конфиденциальности при общении с организаторами и официальными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лицами Соревнования. В частности, вся информация, переданная указанным лицам или полученная от них в рамках подачи и рассмотрения заявлений, жалоб, протестов или обращений, является конфиденциальной и не может быть опубликована без разрешения организаторов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2"/>
          <w:numId w:val="4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нарушения обязательств по соблюдению конфиденциальности при общении с организаторами и официальными лицами Соревнования, в т.ч. опубликования текстов, написанных в рамках подачи заявлений, жалоб,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протестов или обращениях в техническую поддержку без разрешения организаторов влечет применение к нарушителю спортивных санкций, предусмотренных Нормативными документами Соревнования, вплоть до дисквалификации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Соревнования обязаны придерживаться общепринятых норм поведения, проявлять уважительное отношение к официальным лицам Соревнования, зрителям, представителям прессы, а также к другим участникам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Соревнования обязаны соблюдать принципы спортивного поведения и честной игры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по запросу Федерации должны установленным организаторами способом в установленный организаторами срок предоставить фото официального документа, подтверждающего гражданство и возраст участника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Имена, фамилии, фото -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видеоматериалы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изображением участников, их представителе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й, связанные с участием в Соревнованиях, а также интервью и иные материалы, могут быть использованы Федерацией для выполнения обязательств по проведению Соревнования или в иных целях, не противоречащих действующему законодательству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Запрещается оказывать противоправное влияние на результаты геймов (матчей), проводимых в рамках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Лица, не достигшие 18 лет на дату начала Соревнования, обязаны по запросу организаторов предоставить письменное разрешение от родителей или законных представителей на участие в Соревнованиях согласно предоставленному организаторами Соревнования образцу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обязан использовать один и тот же лицензионный аккаунт и один и тот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же никнейм. Запрещено использование нескольких учетных записей одним участников Соревнования. Запрещены любые действия, направленные на передачу аккаунта какому-либо третьему лицу. Обо всех изменениях участник обязан сразу же проинформировать Федерацию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Участникам и иным официальным лицам, задействованным в проведении Соревнования, запрещается участвовать в азартных играх в букмекерски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конторах путем заключения пари на официальные спортивные Соревнования,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Участникам Соревнования запрещается использовать любое программно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обеспечение, влияющее на внутриигровую механику дисциплин Соревнования, в том числе — предназначенное для изменения внутриигровых параметров в целях предоставления преимущества себе и (или) создания препятствий для нормального хода матча своему оппоненту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numPr>
          <w:ilvl w:val="1"/>
          <w:numId w:val="4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обязаны допускать в свои матчи официальных судей и обозревателей, и предоставлять им доступ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внутриматчевой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hanging="425"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hanging="425"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/>
      <w:bookmarkStart w:id="6" w:name="_ag92ngbz0p00"/>
      <w:r>
        <w:rPr>
          <w:rFonts w:ascii="Times New Roman" w:hAnsi="Times New Roman" w:eastAsia="Times New Roman" w:cs="Times New Roman"/>
        </w:rPr>
        <w:t xml:space="preserve">V. </w:t>
      </w:r>
      <w:bookmarkEnd w:id="6"/>
      <w:r>
        <w:rPr>
          <w:rFonts w:ascii="Times New Roman" w:hAnsi="Times New Roman" w:eastAsia="Times New Roman" w:cs="Times New Roman"/>
        </w:rPr>
        <w:t xml:space="preserve">ФОРМАТ И СИСТЕМА ПРОВЕДЕНИЯ СОРЕВНОВАНИЯ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pBdr/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Соревнования проходят в формате ЛАН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Москва (адрес: ул. Дмитровское шоссе 27к1, VK Play Арена)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г., в том числе дни приезда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., день отъезда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Соревнования состоят из двух этапов: групповой и плей-офф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pBdr/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 началом Соревнования, Федерация и (или) ГСК проводит жеребьевку участников для посева их в групповом 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pBdr/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Групповой этап пройдет по круговой системе в формате bo5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pBdr/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будут распределены на две группы. Лучшие четыре участника из каждой группы проходят в плей-офф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pBdr/>
        <w:spacing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распределении мест по итогам группового этапа последовательно учитываются следующие критерии: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83"/>
        <w:numPr>
          <w:ilvl w:val="0"/>
          <w:numId w:val="9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очков (победа в матче — 2 очка, ничья — 1 очко, поражение в матче — 0 очков);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9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равного количества очков —</w:t>
      </w:r>
      <w:r>
        <w:rPr>
          <w:rFonts w:ascii="Times New Roman" w:hAnsi="Times New Roman" w:eastAsia="Times New Roman" w:cs="Times New Roman"/>
          <w:i/>
          <w:color w:val="777777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личных встреч в матчах между спорящими участниками;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numPr>
          <w:ilvl w:val="0"/>
          <w:numId w:val="9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равенства первых двух критериев — разница выигранных и проигранных геймов в матчах спорящих участников.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2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равенстве всех критериев для определения победителя назна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чаются переигровки между участниками с равными показателями. Формат переигровок: bo3. Время переигровок назначается судьями. В случае неявки на переигровку в назначенное время, участнику присуждается техническое поражение в данном матче. Переносы запрещены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Плей-офф этап пройдет по олимпийской системе с матчем за 3 место в формате bo7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Федерация и (или) ГСК вправе изменять турнирную платформу, время начала игр, количество групп, количество участников в группе, количество мест, выходящих из группы в рамках группового этапа, а также формирование этапа плей-офф перед началом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Каждый матч играется строго по расписанию. Матчи, с которых ведется официальная трансляция, стартуют исключительно по команде судьи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Максимально допустимое время задержки начала матча по вине участника — 10 (десять) минут после старта текущего раунда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окончания матча участники должны сообщить судьям 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Минимальное гарантированное время для разминки и настройки устройств ввода/вывода: настройка устройств при посадке или смене игрового места — 5 минут, разминка перед первым и последующими матчами — 5 минут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Минимальное гарантированное время перерыва между матчами — 5 минут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Минимальное гарантированное время перерыва между геймами — 5 минут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команде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удьи каждый участник обязан использовать дополнительные звукоизоляционные и (или) вставные наушники (затычки), предоставленные организаторами. Запрещается изменять уровень громкости и (или) снимать наушники на протяжении матча, в том числе — во время паузы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1"/>
          <w:numId w:val="3"/>
        </w:numPr>
        <w:pBdr/>
        <w:spacing/>
        <w:ind w:right="4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обязаны соблюдать дресс-код и иные требования к внешнему виду участников Соревнований, утвержденны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Федерацией и (или) ГСК. На время проведения финального этапа участники обязаны использовать исключительно предоставленную Федерацией форму. Нарушение данного пункта может повлечь применение к нарушителю спортивных санкций вплоть до дисквалификации.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firstLine="0"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firstLine="0"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VI </w:t>
      </w:r>
      <w:bookmarkStart w:id="7" w:name="_k2k2jog9zrqq"/>
      <w:r>
        <w:rPr>
          <w:rFonts w:ascii="Times New Roman" w:hAnsi="Times New Roman" w:eastAsia="Times New Roman" w:cs="Times New Roman"/>
        </w:rPr>
      </w:r>
      <w:bookmarkEnd w:id="7"/>
      <w:r>
        <w:rPr>
          <w:rFonts w:ascii="Times New Roman" w:hAnsi="Times New Roman" w:eastAsia="Times New Roman" w:cs="Times New Roman"/>
        </w:rPr>
        <w:t xml:space="preserve">ТЕХНИЧЕСКИЕ 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12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6.1. При разрыве соединения с сервером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дисконнекте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всех участников назначается переигровка. В этом случае каждый участник обязан выбрать параметры, которые были выбраны в изначальном гейме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12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6.2. 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дисконнекта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участника, он может получить техническое поражение за гейм. Тем не менее, он может продолжить следующий гейм. Отключившиеся участники должны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переподключиться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своему оппоненту в течение 2 минут. Рекомендуется делать скриншоты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дисконнектов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сообщать судьям, во избежание разногласий с оппонентом в протесте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12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Невозможность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одключиться к оппоненту. Если участникам не удается подключиться друг к другу, чтобы сыграть матч, то судьями будет предложено проверить обоим участникам связь с судьёй. Участник, которому не удается подключиться как к судье (или к другим лицам, которых ук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ажут судьи), так и к оппоненту, может получить техническое поражение. Если оба участника не могут подключиться к судье (или к другим лицам, которых укажут судьи), то победитель матча будет определен случайным образом при участии Главного судьи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VII. </w:t>
      </w:r>
      <w:bookmarkStart w:id="8" w:name="_xa4jgpolc2tm"/>
      <w:r>
        <w:rPr>
          <w:rFonts w:ascii="Times New Roman" w:hAnsi="Times New Roman" w:eastAsia="Times New Roman" w:cs="Times New Roman"/>
        </w:rPr>
      </w:r>
      <w:bookmarkEnd w:id="8"/>
      <w:r>
        <w:rPr>
          <w:rFonts w:ascii="Times New Roman" w:hAnsi="Times New Roman" w:eastAsia="Times New Roman" w:cs="Times New Roman"/>
        </w:rPr>
        <w:t xml:space="preserve">СУДЕЙСТВО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7.1. Судейство матчей Соревнования осуществляется в соответствии с Нормативными документами Соревнования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7.2. В случае совершения участником Соревнования нарушения, прямо не предусмотренного правилами Компьютерного спорта, настоящим Регламентом и Техническими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правилами, Федерация и (или) ГСК вправе применить к такому участнику одну из спортивных санкций, предусмотренных правилами компьютерного спорта, руководствуясь аналогией закона, аналогией права и принципами добросовестности, разумности и справедливости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7.3. За задержку начала или продолжения матча более чем на 10 минут участнику может быть присуждено техническое поражение в матче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7.4. Избыточные сообщения (флуд) во внутриигровой «чат» может повлечь применение к нарушителю спортивных санкций от предупреждения до дисквалификации, в зависимости от количества и частоты сообщений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7.5. Саботирование матчей может повлечь применение к нарушителю спортивных санкций вплоть до дисквалификации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 претензии относительно нарушения правил игры производятся в течение 10 минут после окончания матча. Апелляция должна быть подана одному из судей. Жалобы, поданные в более поздний срок, рассмотрению не подлежат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Участники, когда-либо получавшие блокировку от издателя и (или) производителя видеоигры,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уличенные в мошенничестве, в т.ч. за использование запрещенных программ, имеющие репутацию, которая будет отрицательно сказываться на общественном восприятии Соревнования, могут быть не допущены к участию, либо дисквалифицированы без права подачи апелляции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Иными нормативными документами ФКС России могут определяться иные, не предусмотренные настоящим Регламентом составы дисциплинарных нарушений, а также спортивные санкции, применяемые за их совершение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обжалования примененных спортивных санкций также может определяться в иных нормативных документах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t xml:space="preserve">VIII. </w:t>
      </w:r>
      <w:bookmarkStart w:id="9" w:name="_f1h8wxx5jxo1"/>
      <w:r/>
      <w:bookmarkEnd w:id="9"/>
      <w:r>
        <w:rPr>
          <w:rFonts w:ascii="Times New Roman" w:hAnsi="Times New Roman" w:eastAsia="Times New Roman" w:cs="Times New Roman"/>
        </w:rPr>
        <w:t xml:space="preserve">НАГРАЖДЕНИЕ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8.1. Участник, занявший в финале Соревнования первое место награждается кубком. Победители и призеры награждаются медалями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0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предусмотрен денежный приз. Призовой фонд составляет 1 500 000 рублей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копеек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распределяется следующим образом: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 место: 650 000 рублей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 место: 300 000 рублей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 место: 125 000 рублей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 место: 75 000 рублей;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5-18 место: 25 000 рублей.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8.3. Федерация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(или) иные организации могут учредить и вручить дополнительные награды и памятные призы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Призовые суммы равномерно распределяются между всеми участниками команды и выплачиваются на их личные банковские счета, либо на расчетный счет организации, обеспечивающей прибытие и участие участников в соревновании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Призовые выплачиваются исключительно на счета призеров Соревнования или Организаций в течение 6 (шести) месяцев с момента предоставления необходимых реквизитов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неявки участников на финальный этап Соревнования, причитающиеся им призовые суммы не выплачиваются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Федерация обеспечивает выплату денежных призов победителям и призерам Соревнования - физическим лицам и/или юридическим лицам, на рублевые счета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Федерация вправе предоставить обязанность по выплате денежных призов третьей стороне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8.9.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Выплата денежных призов в пользу юридического лица возможна только при условии наличия заключенного в письменной форме соглашения между юридическим лицом и спортсменом (спортсменами) соответствующей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Команды- победи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теля (призера) и/или при наличии иного документа, подтверждающего волеизъявление спортсмена (спортсменов) о выплате призовых средств в пользу юридического лица, а также при условии предоставления копии такого соглашения (и/или иного документа) в ФКС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8.10.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Федерация, исполняя обязанности налогового агента по налогу на доходы физических лиц при 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плате призовых денежных средств удерживают из суммы призовых денежных средств сумму налога на доходы физических лиц по ставке, установленной действующим законодательством Российской Федерации, и уплачивают ее в соответствующий бюджет 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Федерация в соответствии со ст. 226 Налогового Кодекса РФ выступает налоговым агентом лица, объявленного победителем в Соревновании, по уплате налога на доходы физ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ических лиц, исчисляет, удерживает и перечисляет в бюджет сумму налога, удержанного из доходов победителя Соревнования, получившего приз, а также подает в налоговые органы сведения о доходах победителя Соревнования в виде полученного приза (если применимо)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8.12.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подведения итогов Соревнования Федерация связывается с победителем для вручения приза путем направления сообщения по электронной почте, указанной при регистрации на турнирной платформе. Для вр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учения приза победитель обязуется предоставить по запросу Федерации и в течении 30 (тридцати) календарных дней скан-копию паспорта РФ, ИНН участника и иные данные, которые могут быть указаны в запросе. Указанные сведения запрашиваются Федерацией в целях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сполнения условий Регламента, а также в целях исполнения Федерацией обязанностей, возложенных на него Налоговым кодексом РФ. Для проведения выплат участники обязаны предоставить Организаторам реквизиты, паспортные данные и прочие сведения, необходимые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перечисления денежных средств, вместе с согласием на обработку и хранение таких данных. В случае изменения ранее предоставленных данных участники обязаны предоставить Организаторам обновленные данные вместе с согласием на обработку и хранение таких данных.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IX. </w:t>
      </w:r>
      <w:bookmarkStart w:id="10" w:name="_kynd0yq3yipg"/>
      <w:r>
        <w:rPr>
          <w:rFonts w:ascii="Times New Roman" w:hAnsi="Times New Roman" w:eastAsia="Times New Roman" w:cs="Times New Roman"/>
        </w:rPr>
      </w:r>
      <w:bookmarkEnd w:id="10"/>
      <w:r>
        <w:rPr>
          <w:rFonts w:ascii="Times New Roman" w:hAnsi="Times New Roman" w:eastAsia="Times New Roman" w:cs="Times New Roman"/>
        </w:rPr>
        <w:t xml:space="preserve">ФИНАНСИРОВАНИЕ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9.1. Финансовое обеспечение, связанное с организационными расходами по подготовке и проведению Соревнования, осуществляется Федерацией в соответствии со сметой расходов по согласованию, без привлечения средств из федерального бюджета.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Расходы, связанные с медицинским обслуживанием (включая санитарный транспорт), производством печатных материалов, судейством, проведением церемоний открытия/закрытия турнира, системой аккредитации и прочих расходов, необходимых для проведения турнира,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беспечиваются за счет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9.3. Расходы по командированию участников финального этапа Соревнования (проезд, питание и проживание) осуществляются за счет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9.4. Федерация определяет вид транспорта, которым доставляются участники Соревнования до места проведения финального этапа.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9.5. Федерация определяет даты прибытия участников на место проведения финального этапа Соревнования, а также даты отбытия.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9.6. Билеты оформляются только и исключительно по маршруту «место проживания участника — место проведения Соревнования — место проживания участника». Место отправления и место возвращения могут различаться в исключительных случаях.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 В случае, если воспользоваться купленным билетом не представляется возможным в силу обстоятельств непреодолимой силы,по наступлению таковых обстоятельств, участник обязуется незамедлительно связаться с организатором и сообщить об этом с предоставлением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надлежащих доказательств, в ином случае он может быть дисквалифицирован со всех Соревнований ФКС России сроком на два года.Федерация вправе потребовать возмещения убытков.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9.8. Общее финансирование организации и проведения Соревнования осуществляет Федерация.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9.9. С целью осуществления финансирования Федерация вправе привлекать спонсоров Соревнования, а также иных третьих лиц.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true"/>
        <w:pBdr/>
        <w:spacing/>
        <w:ind w:right="0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9.10. Финансирование Соревнования может осуществляться такжеиз иных не запрещенных законодательством Российской Федерации источников.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true"/>
        <w:pBdr/>
        <w:spacing/>
        <w:ind w:firstLine="0"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/>
      <w:bookmarkStart w:id="11" w:name="_jdjc7xclnka"/>
      <w:r>
        <w:rPr>
          <w:rFonts w:ascii="Times New Roman" w:hAnsi="Times New Roman" w:eastAsia="Times New Roman" w:cs="Times New Roman"/>
        </w:rPr>
        <w:t xml:space="preserve">X. </w:t>
      </w:r>
      <w:bookmarkEnd w:id="11"/>
      <w:r>
        <w:rPr>
          <w:rFonts w:ascii="Times New Roman" w:hAnsi="Times New Roman" w:eastAsia="Times New Roman" w:cs="Times New Roman"/>
        </w:rPr>
        <w:t xml:space="preserve">СТРАХОВАНИЕ УЧАСТНИКОВ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10.1. Участие в Соревнованиях осуществляется только при наличии подтверждающих документов о страховании жизни и здоровья от несчастных случаев на каждого участника. Документы предоставляются в комиссию по допуску участников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Страхование участников осуществляется за счет Организатора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XI. </w:t>
      </w:r>
      <w:bookmarkStart w:id="12" w:name="_wf8hxjgfsi6"/>
      <w:r>
        <w:rPr>
          <w:rFonts w:ascii="Times New Roman" w:hAnsi="Times New Roman" w:eastAsia="Times New Roman" w:cs="Times New Roman"/>
        </w:rPr>
      </w:r>
      <w:bookmarkEnd w:id="12"/>
      <w:r>
        <w:rPr>
          <w:rFonts w:ascii="Times New Roman" w:hAnsi="Times New Roman" w:eastAsia="Times New Roman" w:cs="Times New Roman"/>
        </w:rPr>
        <w:t xml:space="preserve">ЗАКЛЮЧИТЕЛЬНЫЕ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11.1. В случае возникновения спорных вопросов официальное толкование Регламента осуществляется уполномоченными органами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11.2. Внесение изменений в Регламент осуществляется уполномоченными органами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11.3. Регламент вступает в силу с момента его утверждения уполномоченными органами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2"/>
        <w:pBdr/>
        <w:spacing/>
        <w:ind w:right="4" w:firstLine="0" w:left="360"/>
        <w:rPr>
          <w:rFonts w:ascii="Times New Roman" w:hAnsi="Times New Roman" w:cs="Times New Roman"/>
        </w:rPr>
      </w:pPr>
      <w:r/>
      <w:bookmarkStart w:id="13" w:name="_qrpgouu0p53x"/>
      <w:r>
        <w:rPr>
          <w:rFonts w:ascii="Times New Roman" w:hAnsi="Times New Roman" w:eastAsia="Times New Roman" w:cs="Times New Roman"/>
        </w:rPr>
        <w:t xml:space="preserve">XII. </w:t>
      </w:r>
      <w:bookmarkEnd w:id="13"/>
      <w:r>
        <w:rPr>
          <w:rFonts w:ascii="Times New Roman" w:hAnsi="Times New Roman" w:eastAsia="Times New Roman" w:cs="Times New Roman"/>
        </w:rPr>
        <w:t xml:space="preserve">АДРЕСА И РЕКВИЗИТЫ ОРГАНИЗАТОРОВ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12.1. Общероссийская общественная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организация «Федерация компьютерного спорта России» (Федерация)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Адрес: 127434, Россия, г. Москва, Муниципальный округ Тимирязевский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вн.тер.г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Дмитровское ш., д. 27, к.1, ком. 72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ИНН/КПП 7730136455/771301001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ОГРН 1037700207401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АО «РАЙФФАЙЗЕНБАНК» Г. МОСКВА,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р/с 40703810800000001139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к/с 30101810200000000700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БИК 044525700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Page"/>
          <w:pgSz w:h="16838" w:orient="portrait" w:w="11906"/>
          <w:pgMar w:top="1134" w:right="851" w:bottom="1134" w:left="1418" w:header="709" w:footer="709" w:gutter="0"/>
          <w:pgNumType w:start="1"/>
          <w:cols w:num="1" w:sep="0" w:space="1701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Телефон: +7 495 215-53-54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3647"/>
        </w:tabs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</w:r>
      <w:bookmarkStart w:id="13" w:name="_Hlk176509830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993"/>
        </w:tabs>
        <w:spacing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Образец заявки на участие в соревнованиях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З А Я В К 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участие в Международных соревнованиях «Чемпионат стран БРИКС»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 w:val="false"/>
        <w:pBdr>
          <w:bottom w:val="single" w:color="000000" w:sz="4" w:space="0"/>
        </w:pBdr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от команды (название страны)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widowControl w:val="false"/>
        <w:pBdr/>
        <w:tabs>
          <w:tab w:val="left" w:leader="none" w:pos="4000"/>
          <w:tab w:val="left" w:leader="none" w:pos="5800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117" w:type="dxa"/>
        <w:jc w:val="center"/>
        <w:tblInd w:w="1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12"/>
        <w:gridCol w:w="4907"/>
        <w:gridCol w:w="1701"/>
        <w:gridCol w:w="2553"/>
        <w:gridCol w:w="708"/>
        <w:gridCol w:w="2694"/>
        <w:gridCol w:w="1842"/>
      </w:tblGrid>
      <w:tr>
        <w:trPr>
          <w:cantSplit/>
          <w:jc w:val="center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п\п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3"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Игровой никнейм спортсмена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3"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3"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jc w:val="center"/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0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спортсмены в количестве ____человек прошли медицинский осмотр в надлежащем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Врач ____________________________ /____________ 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Подпись                                  Фамилия И.О.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«____» _________________ 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Представитель команды _____________ /______________/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Подпись          Фамилия И.О.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Представитель уполномоченной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br/>
        <w:t xml:space="preserve">организации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____________________ /______________/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           Подпись          Фамилия И.О.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«____» _________________ 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М.П.</w:t>
      </w:r>
      <w:bookmarkEnd w:id="1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418" w:right="1134" w:bottom="851" w:left="1134" w:header="0" w:footer="72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50305040603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Arimo">
    <w:panose1 w:val="020B0603030804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432558"/>
      <w:docPartObj>
        <w:docPartGallery w:val="Page Numbers (Top of Page)"/>
        <w:docPartUnique w:val="true"/>
      </w:docPartObj>
      <w:rPr/>
    </w:sdtPr>
    <w:sdtContent>
      <w:p>
        <w:pPr>
          <w:pStyle w:val="791"/>
          <w:pBdr/>
          <w:spacing/>
          <w:ind/>
          <w:jc w:val="center"/>
          <w:rPr>
            <w:lang w:val="en-US"/>
          </w:rPr>
        </w:pPr>
        <w:r>
          <w:rPr>
            <w:lang w:val="en-US"/>
          </w:rPr>
        </w:r>
        <w:r>
          <w:rPr>
            <w:lang w:val="en-US"/>
          </w:rPr>
        </w:r>
        <w:r>
          <w:rPr>
            <w:lang w:val="en-US"/>
          </w:rPr>
        </w:r>
      </w:p>
      <w:p>
        <w:pPr>
          <w:pStyle w:val="791"/>
          <w:pBdr/>
          <w:spacing/>
          <w:ind/>
          <w:jc w:val="center"/>
          <w:rPr>
            <w:lang w:val="en-US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rPr>
            <w:lang w:val="en-US"/>
          </w:rPr>
        </w:r>
        <w:r>
          <w:rPr>
            <w:lang w:val="en-US"/>
          </w:rPr>
        </w:r>
      </w:p>
      <w:p>
        <w:pPr>
          <w:pStyle w:val="791"/>
          <w:pBdr/>
          <w:spacing/>
          <w:ind/>
          <w:jc w:val="center"/>
          <w:rPr/>
        </w:pP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right"/>
      <w:rPr>
        <w:b/>
      </w:rPr>
    </w:pPr>
    <w:r>
      <w:rPr>
        <w:b/>
      </w:rPr>
    </w: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  <w:u w:val="none"/>
      </w:rPr>
      <w:start w:val="3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>
        <w:b/>
        <w:u w:val="none"/>
      </w:rPr>
      <w:start w:val="1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u w:val="none"/>
        <w:shd w:val="clear" w:color="auto" w:fill="auto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一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  <w:u w:val="none"/>
      </w:rPr>
      <w:start w:val="5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rFonts w:ascii="Times New Roman" w:hAnsi="Times New Roman" w:eastAsia="Times New Roman" w:cs="Times New Roman"/>
        <w:b w:val="0"/>
        <w:sz w:val="28"/>
        <w:szCs w:val="28"/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rFonts w:ascii="Times New Roman" w:hAnsi="Times New Roman" w:eastAsia="Times New Roman" w:cs="Times New Roman"/>
        <w:b w:val="0"/>
        <w:sz w:val="28"/>
        <w:szCs w:val="28"/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ascii="Times New Roman" w:hAnsi="Times New Roman" w:eastAsia="Times New Roman" w:cs="Times New Roman"/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  <w:u w:val="none"/>
      </w:rPr>
      <w:start w:val="4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540" w:left="540"/>
      </w:pPr>
      <w:rPr>
        <w:rFonts w:hint="default"/>
      </w:rPr>
      <w:start w:val="9"/>
      <w:suff w:val="tab"/>
    </w:lvl>
    <w:lvl w:ilvl="1">
      <w:isLgl w:val="false"/>
      <w:lvlJc w:val="left"/>
      <w:lvlText w:val="%1-%2"/>
      <w:numFmt w:val="decimal"/>
      <w:pPr>
        <w:pBdr/>
        <w:spacing/>
        <w:ind w:hanging="540" w:left="2241"/>
      </w:pPr>
      <w:rPr>
        <w:rFonts w:hint="default"/>
      </w:rPr>
      <w:start w:val="10"/>
      <w:suff w:val="tab"/>
    </w:lvl>
    <w:lvl w:ilvl="2">
      <w:isLgl w:val="false"/>
      <w:lvlJc w:val="left"/>
      <w:lvlText w:val="%1-%2.%3"/>
      <w:numFmt w:val="decimal"/>
      <w:pPr>
        <w:pBdr/>
        <w:spacing/>
        <w:ind w:hanging="720" w:left="4122"/>
      </w:pPr>
      <w:rPr>
        <w:rFonts w:hint="default"/>
      </w:rPr>
      <w:start w:val="1"/>
      <w:suff w:val="tab"/>
    </w:lvl>
    <w:lvl w:ilvl="3">
      <w:isLgl w:val="false"/>
      <w:lvlJc w:val="left"/>
      <w:lvlText w:val="%1-%2.%3.%4"/>
      <w:numFmt w:val="decimal"/>
      <w:pPr>
        <w:pBdr/>
        <w:spacing/>
        <w:ind w:hanging="720" w:left="5823"/>
      </w:pPr>
      <w:rPr>
        <w:rFonts w:hint="default"/>
      </w:rPr>
      <w:start w:val="1"/>
      <w:suff w:val="tab"/>
    </w:lvl>
    <w:lvl w:ilvl="4">
      <w:isLgl w:val="false"/>
      <w:lvlJc w:val="left"/>
      <w:lvlText w:val="%1-%2.%3.%4.%5"/>
      <w:numFmt w:val="decimal"/>
      <w:pPr>
        <w:pBdr/>
        <w:spacing/>
        <w:ind w:hanging="1080" w:left="7884"/>
      </w:pPr>
      <w:rPr>
        <w:rFonts w:hint="default"/>
      </w:rPr>
      <w:start w:val="1"/>
      <w:suff w:val="tab"/>
    </w:lvl>
    <w:lvl w:ilvl="5">
      <w:isLgl w:val="false"/>
      <w:lvlJc w:val="left"/>
      <w:lvlText w:val="%1-%2.%3.%4.%5.%6"/>
      <w:numFmt w:val="decimal"/>
      <w:pPr>
        <w:pBdr/>
        <w:spacing/>
        <w:ind w:hanging="1080" w:left="9585"/>
      </w:pPr>
      <w:rPr>
        <w:rFonts w:hint="default"/>
      </w:rPr>
      <w:start w:val="1"/>
      <w:suff w:val="tab"/>
    </w:lvl>
    <w:lvl w:ilvl="6">
      <w:isLgl w:val="false"/>
      <w:lvlJc w:val="left"/>
      <w:lvlText w:val="%1-%2.%3.%4.%5.%6.%7"/>
      <w:numFmt w:val="decimal"/>
      <w:pPr>
        <w:pBdr/>
        <w:spacing/>
        <w:ind w:hanging="1440" w:left="11646"/>
      </w:pPr>
      <w:rPr>
        <w:rFonts w:hint="default"/>
      </w:rPr>
      <w:start w:val="1"/>
      <w:suff w:val="tab"/>
    </w:lvl>
    <w:lvl w:ilvl="7">
      <w:isLgl w:val="false"/>
      <w:lvlJc w:val="left"/>
      <w:lvlText w:val="%1-%2.%3.%4.%5.%6.%7.%8"/>
      <w:numFmt w:val="decimal"/>
      <w:pPr>
        <w:pBdr/>
        <w:spacing/>
        <w:ind w:hanging="1440" w:left="13347"/>
      </w:pPr>
      <w:rPr>
        <w:rFonts w:hint="default"/>
      </w:rPr>
      <w:start w:val="1"/>
      <w:suff w:val="tab"/>
    </w:lvl>
    <w:lvl w:ilvl="8">
      <w:isLgl w:val="false"/>
      <w:lvlJc w:val="left"/>
      <w:lvlText w:val="%1-%2.%3.%4.%5.%6.%7.%8.%9"/>
      <w:numFmt w:val="decimal"/>
      <w:pPr>
        <w:pBdr/>
        <w:spacing/>
        <w:ind w:hanging="1800" w:left="15408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>
        <w:b/>
        <w:u w:val="none"/>
      </w:rPr>
      <w:start w:val="1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b/>
        <w:u w:val="none"/>
      </w:rPr>
      <w:start w:val="5"/>
      <w:suff w:val="tab"/>
    </w:lvl>
    <w:lvl w:ilvl="1">
      <w:isLgl w:val="false"/>
      <w:lvlJc w:val="right"/>
      <w:lvlText w:val="%1.%2."/>
      <w:numFmt w:val="decimal"/>
      <w:pPr>
        <w:pBdr/>
        <w:spacing/>
        <w:ind w:hanging="360" w:left="1440"/>
      </w:pPr>
      <w:rPr>
        <w:rFonts w:ascii="Times New Roman" w:hAnsi="Times New Roman" w:eastAsia="Times New Roman" w:cs="Times New Roman"/>
        <w:b w:val="0"/>
        <w:sz w:val="28"/>
        <w:szCs w:val="28"/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rFonts w:ascii="Times New Roman" w:hAnsi="Times New Roman" w:eastAsia="Times New Roman" w:cs="Times New Roman"/>
        <w:b w:val="0"/>
        <w:sz w:val="28"/>
        <w:szCs w:val="28"/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2">
    <w:lvl w:ilvl="0">
      <w:isLgl w:val="false"/>
      <w:lvlJc w:val="left"/>
      <w:lvlText w:val="—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u w:val="none"/>
      </w:rPr>
      <w:start w:val="1"/>
      <w:suff w:val="tab"/>
    </w:lvl>
    <w:lvl w:ilvl="1">
      <w:isLgl w:val="false"/>
      <w:lvlJc w:val="right"/>
      <w:lvlText w:val="●.%2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right"/>
      <w:lvlText w:val="●.%2.%3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right"/>
      <w:lvlText w:val="●.%2.%3.%4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right"/>
      <w:lvlText w:val="●.%2.%3.%4.%5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right"/>
      <w:lvlText w:val="●.%2.%3.%4.%5.%6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right"/>
      <w:lvlText w:val="●.%2.%3.%4.%5.%6.%7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right"/>
      <w:lvlText w:val="●.%2.%3.%4.%5.%6.%7.%8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right"/>
      <w:lvlText w:val="●.%2.%3.%4.%5.%6.%7.%8.%9."/>
      <w:numFmt w:val="decimal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13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b/>
        <w:sz w:val="28"/>
        <w:szCs w:val="28"/>
        <w:u w:val="none"/>
      </w:rPr>
      <w:start w:val="4"/>
      <w:suff w:val="tab"/>
    </w:lvl>
    <w:lvl w:ilvl="1">
      <w:isLgl w:val="false"/>
      <w:lvlJc w:val="right"/>
      <w:lvlText w:val="%1.%2."/>
      <w:numFmt w:val="decimal"/>
      <w:pPr>
        <w:pBdr/>
        <w:spacing/>
        <w:ind w:hanging="306" w:left="1440"/>
      </w:pPr>
      <w:rPr>
        <w:sz w:val="28"/>
        <w:szCs w:val="28"/>
        <w:u w:val="none"/>
      </w:rPr>
      <w:start w:val="1"/>
      <w:suff w:val="tab"/>
    </w:lvl>
    <w:lvl w:ilvl="2">
      <w:isLgl w:val="false"/>
      <w:lvlJc w:val="right"/>
      <w:lvlText w:val="%1.%2.%3."/>
      <w:numFmt w:val="decimal"/>
      <w:pPr>
        <w:pBdr/>
        <w:spacing/>
        <w:ind w:hanging="360" w:left="2160"/>
      </w:pPr>
      <w:rPr>
        <w:sz w:val="28"/>
        <w:szCs w:val="28"/>
        <w:u w:val="none"/>
      </w:rPr>
      <w:start w:val="1"/>
      <w:suff w:val="tab"/>
    </w:lvl>
    <w:lvl w:ilvl="3">
      <w:isLgl w:val="false"/>
      <w:lvlJc w:val="right"/>
      <w:lvlText w:val="%1.%2.%3.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right"/>
      <w:lvlText w:val="%1.%2.%3.%4.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1.%2.%3.%4.%5.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right"/>
      <w:lvlText w:val="%1.%2.%3.%4.%5.%6.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right"/>
      <w:lvlText w:val="%1.%2.%3.%4.%5.%6.%7.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1.%2.%3.%4.%5.%6.%7.%8.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mo" w:hAnsi="Arimo" w:eastAsia="Arimo" w:cs="Arimo"/>
        <w:sz w:val="24"/>
        <w:szCs w:val="24"/>
        <w:lang w:val="ru-RU" w:eastAsia="zh-CN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771"/>
    <w:link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71"/>
    <w:link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>
    <w:name w:val="Heading 3 Char"/>
    <w:basedOn w:val="771"/>
    <w:link w:val="76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71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71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71"/>
    <w:link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71"/>
    <w:link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71"/>
    <w:link w:val="942"/>
    <w:uiPriority w:val="10"/>
    <w:pPr>
      <w:pBdr/>
      <w:spacing/>
      <w:ind/>
    </w:pPr>
    <w:rPr>
      <w:sz w:val="48"/>
      <w:szCs w:val="48"/>
    </w:rPr>
  </w:style>
  <w:style w:type="character" w:styleId="754">
    <w:name w:val="Subtitle Char"/>
    <w:basedOn w:val="771"/>
    <w:link w:val="943"/>
    <w:uiPriority w:val="11"/>
    <w:pPr>
      <w:pBdr/>
      <w:spacing/>
      <w:ind/>
    </w:pPr>
    <w:rPr>
      <w:sz w:val="24"/>
      <w:szCs w:val="24"/>
    </w:rPr>
  </w:style>
  <w:style w:type="character" w:styleId="755">
    <w:name w:val="Quote Char"/>
    <w:link w:val="787"/>
    <w:uiPriority w:val="29"/>
    <w:pPr>
      <w:pBdr/>
      <w:spacing/>
      <w:ind/>
    </w:pPr>
    <w:rPr>
      <w:i/>
    </w:rPr>
  </w:style>
  <w:style w:type="character" w:styleId="756">
    <w:name w:val="Intense Quote Char"/>
    <w:link w:val="789"/>
    <w:uiPriority w:val="30"/>
    <w:pPr>
      <w:pBdr/>
      <w:spacing/>
      <w:ind/>
    </w:pPr>
    <w:rPr>
      <w:i/>
    </w:rPr>
  </w:style>
  <w:style w:type="character" w:styleId="757">
    <w:name w:val="Header Char"/>
    <w:basedOn w:val="771"/>
    <w:link w:val="791"/>
    <w:uiPriority w:val="99"/>
    <w:pPr>
      <w:pBdr/>
      <w:spacing/>
      <w:ind/>
    </w:pPr>
  </w:style>
  <w:style w:type="character" w:styleId="758">
    <w:name w:val="Caption Char"/>
    <w:basedOn w:val="795"/>
    <w:link w:val="793"/>
    <w:uiPriority w:val="99"/>
    <w:pPr>
      <w:pBdr/>
      <w:spacing/>
      <w:ind/>
    </w:pPr>
  </w:style>
  <w:style w:type="character" w:styleId="759">
    <w:name w:val="Footnote Text Char"/>
    <w:link w:val="924"/>
    <w:uiPriority w:val="99"/>
    <w:pPr>
      <w:pBdr/>
      <w:spacing/>
      <w:ind/>
    </w:pPr>
    <w:rPr>
      <w:sz w:val="18"/>
    </w:rPr>
  </w:style>
  <w:style w:type="character" w:styleId="760">
    <w:name w:val="Endnote Text Char"/>
    <w:link w:val="927"/>
    <w:uiPriority w:val="99"/>
    <w:pPr>
      <w:pBdr/>
      <w:spacing/>
      <w:ind/>
    </w:pPr>
    <w:rPr>
      <w:sz w:val="20"/>
    </w:rPr>
  </w:style>
  <w:style w:type="paragraph" w:styleId="761" w:default="1">
    <w:name w:val="Normal"/>
    <w:pPr>
      <w:pBdr/>
      <w:spacing/>
      <w:ind/>
    </w:pPr>
  </w:style>
  <w:style w:type="paragraph" w:styleId="762">
    <w:name w:val="Heading 1"/>
    <w:basedOn w:val="761"/>
    <w:next w:val="761"/>
    <w:link w:val="774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20" w:before="480"/>
      <w:ind/>
      <w:outlineLvl w:val="0"/>
    </w:pPr>
    <w:rPr>
      <w:b/>
      <w:color w:val="000000"/>
      <w:sz w:val="48"/>
      <w:szCs w:val="48"/>
    </w:rPr>
  </w:style>
  <w:style w:type="paragraph" w:styleId="763">
    <w:name w:val="Heading 2"/>
    <w:basedOn w:val="761"/>
    <w:next w:val="761"/>
    <w:link w:val="775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80" w:before="360"/>
      <w:ind/>
      <w:outlineLvl w:val="1"/>
    </w:pPr>
    <w:rPr>
      <w:b/>
      <w:color w:val="000000"/>
      <w:sz w:val="36"/>
      <w:szCs w:val="36"/>
    </w:rPr>
  </w:style>
  <w:style w:type="paragraph" w:styleId="764">
    <w:name w:val="Heading 3"/>
    <w:basedOn w:val="761"/>
    <w:next w:val="761"/>
    <w:link w:val="776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80" w:before="280"/>
      <w:ind/>
      <w:outlineLvl w:val="2"/>
    </w:pPr>
    <w:rPr>
      <w:b/>
      <w:color w:val="000000"/>
      <w:sz w:val="28"/>
      <w:szCs w:val="28"/>
    </w:rPr>
  </w:style>
  <w:style w:type="paragraph" w:styleId="765">
    <w:name w:val="Heading 4"/>
    <w:basedOn w:val="761"/>
    <w:next w:val="761"/>
    <w:link w:val="777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 w:before="240"/>
      <w:ind/>
      <w:outlineLvl w:val="3"/>
    </w:pPr>
    <w:rPr>
      <w:b/>
      <w:color w:val="000000"/>
    </w:rPr>
  </w:style>
  <w:style w:type="paragraph" w:styleId="766">
    <w:name w:val="Heading 5"/>
    <w:basedOn w:val="761"/>
    <w:next w:val="761"/>
    <w:link w:val="778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 w:before="220"/>
      <w:ind/>
      <w:outlineLvl w:val="4"/>
    </w:pPr>
    <w:rPr>
      <w:b/>
      <w:color w:val="000000"/>
      <w:sz w:val="22"/>
      <w:szCs w:val="22"/>
    </w:rPr>
  </w:style>
  <w:style w:type="paragraph" w:styleId="767">
    <w:name w:val="Heading 6"/>
    <w:basedOn w:val="761"/>
    <w:next w:val="761"/>
    <w:link w:val="779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 w:before="200"/>
      <w:ind/>
      <w:outlineLvl w:val="5"/>
    </w:pPr>
    <w:rPr>
      <w:b/>
      <w:color w:val="000000"/>
      <w:sz w:val="20"/>
      <w:szCs w:val="20"/>
    </w:rPr>
  </w:style>
  <w:style w:type="paragraph" w:styleId="768">
    <w:name w:val="Heading 7"/>
    <w:basedOn w:val="761"/>
    <w:next w:val="76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761"/>
    <w:next w:val="76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761"/>
    <w:next w:val="76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Заголовок 1 Знак"/>
    <w:link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link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6" w:customStyle="1">
    <w:name w:val="Заголовок 3 Знак"/>
    <w:link w:val="76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link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link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link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61"/>
    <w:uiPriority w:val="34"/>
    <w:qFormat/>
    <w:pPr>
      <w:pBdr/>
      <w:spacing/>
      <w:ind w:left="720"/>
      <w:contextualSpacing w:val="true"/>
    </w:pPr>
  </w:style>
  <w:style w:type="paragraph" w:styleId="784">
    <w:name w:val="No Spacing"/>
    <w:uiPriority w:val="1"/>
    <w:qFormat/>
    <w:pPr>
      <w:pBdr/>
      <w:spacing/>
      <w:ind/>
    </w:pPr>
  </w:style>
  <w:style w:type="character" w:styleId="785" w:customStyle="1">
    <w:name w:val="Заголовок Знак"/>
    <w:link w:val="942"/>
    <w:uiPriority w:val="10"/>
    <w:pPr>
      <w:pBdr/>
      <w:spacing/>
      <w:ind/>
    </w:pPr>
    <w:rPr>
      <w:sz w:val="48"/>
      <w:szCs w:val="48"/>
    </w:rPr>
  </w:style>
  <w:style w:type="character" w:styleId="786" w:customStyle="1">
    <w:name w:val="Подзаголовок Знак"/>
    <w:link w:val="943"/>
    <w:uiPriority w:val="11"/>
    <w:pPr>
      <w:pBdr/>
      <w:spacing/>
      <w:ind/>
    </w:pPr>
    <w:rPr>
      <w:sz w:val="24"/>
      <w:szCs w:val="24"/>
    </w:rPr>
  </w:style>
  <w:style w:type="paragraph" w:styleId="787">
    <w:name w:val="Quote"/>
    <w:basedOn w:val="761"/>
    <w:next w:val="761"/>
    <w:link w:val="788"/>
    <w:uiPriority w:val="29"/>
    <w:qFormat/>
    <w:pPr>
      <w:pBdr/>
      <w:spacing/>
      <w:ind w:right="720" w:left="720"/>
    </w:pPr>
    <w:rPr>
      <w:i/>
    </w:rPr>
  </w:style>
  <w:style w:type="character" w:styleId="788" w:customStyle="1">
    <w:name w:val="Цитата 2 Знак"/>
    <w:link w:val="787"/>
    <w:uiPriority w:val="29"/>
    <w:pPr>
      <w:pBdr/>
      <w:spacing/>
      <w:ind/>
    </w:pPr>
    <w:rPr>
      <w:i/>
    </w:rPr>
  </w:style>
  <w:style w:type="paragraph" w:styleId="789">
    <w:name w:val="Intense Quote"/>
    <w:basedOn w:val="761"/>
    <w:next w:val="761"/>
    <w:link w:val="7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0" w:customStyle="1">
    <w:name w:val="Выделенная цитата Знак"/>
    <w:link w:val="789"/>
    <w:uiPriority w:val="30"/>
    <w:pPr>
      <w:pBdr/>
      <w:spacing/>
      <w:ind/>
    </w:pPr>
    <w:rPr>
      <w:i/>
    </w:rPr>
  </w:style>
  <w:style w:type="paragraph" w:styleId="791">
    <w:name w:val="Header"/>
    <w:basedOn w:val="761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2" w:customStyle="1">
    <w:name w:val="Верхний колонтитул Знак"/>
    <w:link w:val="791"/>
    <w:uiPriority w:val="99"/>
    <w:pPr>
      <w:pBdr/>
      <w:spacing/>
      <w:ind/>
    </w:pPr>
  </w:style>
  <w:style w:type="paragraph" w:styleId="793">
    <w:name w:val="Footer"/>
    <w:basedOn w:val="761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4" w:customStyle="1">
    <w:name w:val="Footer Char"/>
    <w:uiPriority w:val="99"/>
    <w:pPr>
      <w:pBdr/>
      <w:spacing/>
      <w:ind/>
    </w:pPr>
  </w:style>
  <w:style w:type="paragraph" w:styleId="795">
    <w:name w:val="Caption"/>
    <w:basedOn w:val="761"/>
    <w:next w:val="76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6" w:customStyle="1">
    <w:name w:val="Нижний колонтитул Знак"/>
    <w:link w:val="793"/>
    <w:uiPriority w:val="99"/>
    <w:pPr>
      <w:pBdr/>
      <w:spacing/>
      <w:ind/>
    </w:pPr>
  </w:style>
  <w:style w:type="table" w:styleId="797">
    <w:name w:val="Table Grid"/>
    <w:basedOn w:val="77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Table Grid Light"/>
    <w:basedOn w:val="77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7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7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basedOn w:val="772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basedOn w:val="77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basedOn w:val="772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basedOn w:val="77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1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2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3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4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5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6"/>
    <w:basedOn w:val="77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4">
    <w:name w:val="footnote text"/>
    <w:basedOn w:val="761"/>
    <w:link w:val="925"/>
    <w:uiPriority w:val="99"/>
    <w:semiHidden/>
    <w:unhideWhenUsed/>
    <w:pPr>
      <w:pBdr/>
      <w:spacing w:after="40"/>
      <w:ind/>
    </w:pPr>
    <w:rPr>
      <w:sz w:val="18"/>
    </w:rPr>
  </w:style>
  <w:style w:type="character" w:styleId="925" w:customStyle="1">
    <w:name w:val="Текст сноски Знак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761"/>
    <w:link w:val="928"/>
    <w:uiPriority w:val="99"/>
    <w:semiHidden/>
    <w:unhideWhenUsed/>
    <w:pPr>
      <w:pBdr/>
      <w:spacing/>
      <w:ind/>
    </w:pPr>
    <w:rPr>
      <w:sz w:val="20"/>
    </w:rPr>
  </w:style>
  <w:style w:type="character" w:styleId="928" w:customStyle="1">
    <w:name w:val="Текст концевой сноски Знак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toc 1"/>
    <w:basedOn w:val="761"/>
    <w:next w:val="761"/>
    <w:uiPriority w:val="39"/>
    <w:unhideWhenUsed/>
    <w:pPr>
      <w:pBdr/>
      <w:spacing w:after="57"/>
      <w:ind/>
    </w:pPr>
  </w:style>
  <w:style w:type="paragraph" w:styleId="931">
    <w:name w:val="toc 2"/>
    <w:basedOn w:val="761"/>
    <w:next w:val="761"/>
    <w:uiPriority w:val="39"/>
    <w:unhideWhenUsed/>
    <w:pPr>
      <w:pBdr/>
      <w:spacing w:after="57"/>
      <w:ind w:left="283"/>
    </w:pPr>
  </w:style>
  <w:style w:type="paragraph" w:styleId="932">
    <w:name w:val="toc 3"/>
    <w:basedOn w:val="761"/>
    <w:next w:val="761"/>
    <w:uiPriority w:val="39"/>
    <w:unhideWhenUsed/>
    <w:pPr>
      <w:pBdr/>
      <w:spacing w:after="57"/>
      <w:ind w:left="567"/>
    </w:pPr>
  </w:style>
  <w:style w:type="paragraph" w:styleId="933">
    <w:name w:val="toc 4"/>
    <w:basedOn w:val="761"/>
    <w:next w:val="761"/>
    <w:uiPriority w:val="39"/>
    <w:unhideWhenUsed/>
    <w:pPr>
      <w:pBdr/>
      <w:spacing w:after="57"/>
      <w:ind w:left="850"/>
    </w:pPr>
  </w:style>
  <w:style w:type="paragraph" w:styleId="934">
    <w:name w:val="toc 5"/>
    <w:basedOn w:val="761"/>
    <w:next w:val="761"/>
    <w:uiPriority w:val="39"/>
    <w:unhideWhenUsed/>
    <w:pPr>
      <w:pBdr/>
      <w:spacing w:after="57"/>
      <w:ind w:left="1134"/>
    </w:pPr>
  </w:style>
  <w:style w:type="paragraph" w:styleId="935">
    <w:name w:val="toc 6"/>
    <w:basedOn w:val="761"/>
    <w:next w:val="761"/>
    <w:uiPriority w:val="39"/>
    <w:unhideWhenUsed/>
    <w:pPr>
      <w:pBdr/>
      <w:spacing w:after="57"/>
      <w:ind w:left="1417"/>
    </w:pPr>
  </w:style>
  <w:style w:type="paragraph" w:styleId="936">
    <w:name w:val="toc 7"/>
    <w:basedOn w:val="761"/>
    <w:next w:val="761"/>
    <w:uiPriority w:val="39"/>
    <w:unhideWhenUsed/>
    <w:pPr>
      <w:pBdr/>
      <w:spacing w:after="57"/>
      <w:ind w:left="1701"/>
    </w:pPr>
  </w:style>
  <w:style w:type="paragraph" w:styleId="937">
    <w:name w:val="toc 8"/>
    <w:basedOn w:val="761"/>
    <w:next w:val="761"/>
    <w:uiPriority w:val="39"/>
    <w:unhideWhenUsed/>
    <w:pPr>
      <w:pBdr/>
      <w:spacing w:after="57"/>
      <w:ind w:left="1984"/>
    </w:pPr>
  </w:style>
  <w:style w:type="paragraph" w:styleId="938">
    <w:name w:val="toc 9"/>
    <w:basedOn w:val="761"/>
    <w:next w:val="761"/>
    <w:uiPriority w:val="39"/>
    <w:unhideWhenUsed/>
    <w:pPr>
      <w:pBdr/>
      <w:spacing w:after="57"/>
      <w:ind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761"/>
    <w:next w:val="761"/>
    <w:uiPriority w:val="99"/>
    <w:unhideWhenUsed/>
    <w:pPr>
      <w:pBdr/>
      <w:spacing/>
      <w:ind/>
    </w:pPr>
  </w:style>
  <w:style w:type="table" w:styleId="94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Title"/>
    <w:basedOn w:val="761"/>
    <w:next w:val="761"/>
    <w:link w:val="785"/>
    <w:pPr>
      <w:keepNext w:val="true"/>
      <w:keepLines w:val="true"/>
      <w:pBdr/>
      <w:spacing/>
      <w:ind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943">
    <w:name w:val="Subtitle"/>
    <w:basedOn w:val="761"/>
    <w:next w:val="761"/>
    <w:link w:val="786"/>
    <w:pPr>
      <w:keepNext w:val="true"/>
      <w:keepLines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44" w:customStyle="1">
    <w:name w:val="StGen0"/>
    <w:basedOn w:val="941"/>
    <w:pPr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Cambria" w:hAnsi="Cambria" w:eastAsia="Cambria" w:cs="Cambria"/>
      <w:color w:val="000000"/>
      <w:sz w:val="22"/>
      <w:szCs w:val="22"/>
    </w:r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DABF-2F71-4A5C-8C0A-FA701070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 Fedosov</cp:lastModifiedBy>
  <cp:revision>19</cp:revision>
  <dcterms:created xsi:type="dcterms:W3CDTF">2024-09-05T07:13:00Z</dcterms:created>
  <dcterms:modified xsi:type="dcterms:W3CDTF">2024-11-06T10:53:08Z</dcterms:modified>
</cp:coreProperties>
</file>